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Single economy jako trwały trend ekonomiczny i społeczny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Polsce i Europie rośnie liczba osób żyjących w pojedynkę, a to zmienia nie tylko statystyki demograficzne. Za tym trendem stoją głębokie procesy społeczne, kulturowe i ekonomiczne. Single economy odsłania napięcia, które coraz wyraźniej widać w relacjach, pracy i tożsamości.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Komentarz ekspercki Olgi Kozierowskiej, twórczyni konkursu Sukces Pisany Szminką, kampanii We Did It In Poland oraz wpływowych kampanii społecznych.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Unii Europejskiej blisko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72 mln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osób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żyje obecnie w jednoosobowych gospodarstwach domowych</w:t>
      </w:r>
      <w:r>
        <w:rPr>
          <w:rFonts w:ascii="calibri" w:hAnsi="calibri" w:eastAsia="calibri" w:cs="calibri"/>
          <w:sz w:val="24"/>
          <w:szCs w:val="24"/>
        </w:rPr>
        <w:t xml:space="preserve">, a ich liczba wzrosła o ponad 30 proc. w ostatnich latach. Odsetek osób żyjących samotnie rośnie we wszystkich grupach wiekowych – dotyczy nieco ponad </w:t>
      </w:r>
      <w:r>
        <w:rPr>
          <w:rFonts w:ascii="calibri" w:hAnsi="calibri" w:eastAsia="calibri" w:cs="calibri"/>
          <w:sz w:val="24"/>
          <w:szCs w:val="24"/>
          <w:b/>
        </w:rPr>
        <w:t xml:space="preserve">10 proc. </w:t>
      </w:r>
      <w:r>
        <w:rPr>
          <w:rFonts w:ascii="calibri" w:hAnsi="calibri" w:eastAsia="calibri" w:cs="calibri"/>
          <w:sz w:val="24"/>
          <w:szCs w:val="24"/>
        </w:rPr>
        <w:t xml:space="preserve">młodych dorosłych w wieku 18-24 lat oraz niemal jednej trzeciej osób w wieku 65+, a w porównaniu z 2015 rokiem liczba samotnych dorosłych wzrosła o </w:t>
      </w:r>
      <w:r>
        <w:rPr>
          <w:rFonts w:ascii="calibri" w:hAnsi="calibri" w:eastAsia="calibri" w:cs="calibri"/>
          <w:sz w:val="24"/>
          <w:szCs w:val="24"/>
          <w:b/>
        </w:rPr>
        <w:t xml:space="preserve">12,7 proc.</w:t>
      </w:r>
      <w:r>
        <w:rPr>
          <w:rFonts w:ascii="calibri" w:hAnsi="calibri" w:eastAsia="calibri" w:cs="calibri"/>
          <w:sz w:val="24"/>
          <w:szCs w:val="24"/>
        </w:rPr>
        <w:t xml:space="preserve"> w grupie 18-64 lata i aż o </w:t>
      </w:r>
      <w:r>
        <w:rPr>
          <w:rFonts w:ascii="calibri" w:hAnsi="calibri" w:eastAsia="calibri" w:cs="calibri"/>
          <w:sz w:val="24"/>
          <w:szCs w:val="24"/>
          <w:b/>
        </w:rPr>
        <w:t xml:space="preserve">19,8 proc.</w:t>
      </w:r>
      <w:r>
        <w:rPr>
          <w:rFonts w:ascii="calibri" w:hAnsi="calibri" w:eastAsia="calibri" w:cs="calibri"/>
          <w:sz w:val="24"/>
          <w:szCs w:val="24"/>
        </w:rPr>
        <w:t xml:space="preserve"> wśród osób powyżej 64. roku życia. W Polsce stanowią obecnie już około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26,5 proc.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wszystkich gospodarstw. </w:t>
      </w:r>
      <w:r>
        <w:rPr>
          <w:rFonts w:ascii="calibri" w:hAnsi="calibri" w:eastAsia="calibri" w:cs="calibri"/>
          <w:sz w:val="24"/>
          <w:szCs w:val="24"/>
        </w:rPr>
        <w:t xml:space="preserve">W porównaniu z 2015 r. udział gospodarstw jednoosobowych wzrósł z </w:t>
      </w:r>
      <w:r>
        <w:rPr>
          <w:rFonts w:ascii="calibri" w:hAnsi="calibri" w:eastAsia="calibri" w:cs="calibri"/>
          <w:sz w:val="24"/>
          <w:szCs w:val="24"/>
          <w:b/>
        </w:rPr>
        <w:t xml:space="preserve">20,1 proc.</w:t>
      </w:r>
      <w:r>
        <w:rPr>
          <w:rFonts w:ascii="calibri" w:hAnsi="calibri" w:eastAsia="calibri" w:cs="calibri"/>
          <w:sz w:val="24"/>
          <w:szCs w:val="24"/>
        </w:rPr>
        <w:t xml:space="preserve">, co pokazuje trend zmiany struktury rodzinnej i mieszkaniowej w Polsce.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Prowadzi to do powstania zjawiska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single economy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– rynku kształtowanego przez osoby żyjące samodzielnie. Charakteryzuje się on wyższą konsumpcją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per capita</w:t>
      </w:r>
      <w:r>
        <w:rPr>
          <w:rFonts w:ascii="calibri" w:hAnsi="calibri" w:eastAsia="calibri" w:cs="calibri"/>
          <w:sz w:val="24"/>
          <w:szCs w:val="24"/>
        </w:rPr>
        <w:t xml:space="preserve"> w porównaniu z większymi gospodarstwami, koncentracją wydatków na usługi, jedzenie, produkty podnoszące wygodę życia, edukację i mobilność, a także rosnącym wpływem na PKB. W 2024 roku przeciętny miesięczny dochód rozporządzalny na osobę w gospodarstwie domowym w Polsce wyniósł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3 167 zł</w:t>
        </w:r>
      </w:hyperlink>
      <w:r>
        <w:rPr>
          <w:rFonts w:ascii="calibri" w:hAnsi="calibri" w:eastAsia="calibri" w:cs="calibri"/>
          <w:sz w:val="24"/>
          <w:szCs w:val="24"/>
        </w:rPr>
        <w:t xml:space="preserve">, a przeciętne miesięczne wydatki na jedną osobę – 1 878 zł. W przypadku gospodarstw jednoosobowych oznacza to konieczność samodzielnego ponoszenia pełnych kosztów utrzymania, bez możliwości ich rozłożenia na więcej osób.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Single economy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nie jest więc jedynie efektem indywidualizacji stylu życia – to </w:t>
      </w:r>
      <w:r>
        <w:rPr>
          <w:rFonts w:ascii="calibri" w:hAnsi="calibri" w:eastAsia="calibri" w:cs="calibri"/>
          <w:sz w:val="24"/>
          <w:szCs w:val="24"/>
          <w:b/>
        </w:rPr>
        <w:t xml:space="preserve">realny trend ekonomiczny i społeczny, który zmienia sposób funkcjonowania rynku, kształtuje potrzeby konsumenckie i wymusza elastyczność przedsiębiorców</w:t>
      </w:r>
      <w:r>
        <w:rPr>
          <w:rFonts w:ascii="calibri" w:hAnsi="calibri" w:eastAsia="calibri" w:cs="calibri"/>
          <w:sz w:val="24"/>
          <w:szCs w:val="24"/>
        </w:rPr>
        <w:t xml:space="preserve">. Życie w pojedynkę oznacza inne doświadczenie codzienności: pełną odpowiedzialność za koszty utrzymania, brak efektu skali w wydatkach oraz większą podatność na wstrząsy ekonomiczne.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Dane pokazują, że to właśnie </w:t>
      </w:r>
      <w:r>
        <w:rPr>
          <w:rFonts w:ascii="calibri" w:hAnsi="calibri" w:eastAsia="calibri" w:cs="calibri"/>
          <w:sz w:val="24"/>
          <w:szCs w:val="24"/>
          <w:b/>
        </w:rPr>
        <w:t xml:space="preserve">konsumpcja gospodarstw domowych pozostaje jednym z głównych motorów wzrostu gospodarczego </w:t>
      </w:r>
      <w:r>
        <w:rPr>
          <w:rFonts w:ascii="calibri" w:hAnsi="calibri" w:eastAsia="calibri" w:cs="calibri"/>
          <w:sz w:val="24"/>
          <w:szCs w:val="24"/>
        </w:rPr>
        <w:t xml:space="preserve">– w 2024 roku odpowiadała za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ok. 3 p.p.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wzrostu PKB. W tym kontekście rola singli jako grupy konsumenckiej jest coraz bardziej widoczna. Osoby żyjące samodzielnie szybciej reagują na zmiany rynkowe i częściej korzystają z usług, które oszczędzają czas i upraszczają codzienne życie. Warto przy tej okazji zwrócić uwagę na zjawisko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singles tax</w:t>
      </w:r>
      <w:r>
        <w:rPr>
          <w:rFonts w:ascii="calibri" w:hAnsi="calibri" w:eastAsia="calibri" w:cs="calibri"/>
          <w:sz w:val="24"/>
          <w:szCs w:val="24"/>
        </w:rPr>
        <w:t xml:space="preserve"> – systemowej nierównowagi, w której </w:t>
      </w:r>
      <w:r>
        <w:rPr>
          <w:rFonts w:ascii="calibri" w:hAnsi="calibri" w:eastAsia="calibri" w:cs="calibri"/>
          <w:sz w:val="24"/>
          <w:szCs w:val="24"/>
          <w:b/>
        </w:rPr>
        <w:t xml:space="preserve">osoby żyjące samotnie ponoszą relatywnie wyższe koszty życia niż pary czy rodziny</w:t>
      </w:r>
      <w:r>
        <w:rPr>
          <w:rFonts w:ascii="calibri" w:hAnsi="calibri" w:eastAsia="calibri" w:cs="calibri"/>
          <w:sz w:val="24"/>
          <w:szCs w:val="24"/>
        </w:rPr>
        <w:t xml:space="preserve">. Pierwsze analizy z rynku amerykańskiego pokazują, że życie w pojedynkę wiąże się z wyraźnie wyższymi kosztami – singiel mieszkający sam płaci średnio ponad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10 tys. dol. </w:t>
        </w:r>
      </w:hyperlink>
      <w:r>
        <w:rPr>
          <w:rFonts w:ascii="calibri" w:hAnsi="calibri" w:eastAsia="calibri" w:cs="calibri"/>
          <w:sz w:val="24"/>
          <w:szCs w:val="24"/>
        </w:rPr>
        <w:t xml:space="preserve">rocznie więcej za samo utrzymanie mieszkania niż osoba dzieląca je z innymi dorosłymi.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sprawia, że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single economy</w:t>
      </w:r>
      <w:r>
        <w:rPr>
          <w:rFonts w:ascii="calibri" w:hAnsi="calibri" w:eastAsia="calibri" w:cs="calibri"/>
          <w:sz w:val="24"/>
          <w:szCs w:val="24"/>
        </w:rPr>
        <w:t xml:space="preserve"> odsłania nie tylko nowe wzorce społeczne, ale także </w:t>
      </w:r>
      <w:r>
        <w:rPr>
          <w:rFonts w:ascii="calibri" w:hAnsi="calibri" w:eastAsia="calibri" w:cs="calibri"/>
          <w:sz w:val="24"/>
          <w:szCs w:val="24"/>
          <w:b/>
        </w:rPr>
        <w:t xml:space="preserve">napięcia i luki w politykach publicznych</w:t>
      </w:r>
      <w:r>
        <w:rPr>
          <w:rFonts w:ascii="calibri" w:hAnsi="calibri" w:eastAsia="calibri" w:cs="calibri"/>
          <w:sz w:val="24"/>
          <w:szCs w:val="24"/>
        </w:rPr>
        <w:t xml:space="preserve">, które wciąż projektowane są przede wszystkim z myślą o gospodarstwach wieloosobowych. W konsekwencji staje się istotnym punktem odniesienia dla firm, które chcą rozwijać ofertę dopasowaną do zmieniającej się struktury społecznej. Z perspektywy przedsiębiorców to znak, że rynek coraz silniej kształtują indywidualne potrzeby i decyzje jednostek, a nie tradycyjny model gospodarstwa rodzinnego. Jednocześnie jest to wyraźny sygnał dla państwa i instytucji publicznych, że polityki podatkowe, mieszkaniowe i społeczne powinny w większym stopniu uwzględniać rosnącą liczbę jednoosobowych gospodarstw, a nie opierać się wyłącznie na modelu rodzinnym.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Kryzys tożsamości i poczucia własnej wartości u mężczyzn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tle tego zjawiska coraz wyraźniej rysuje się także </w:t>
      </w:r>
      <w:r>
        <w:rPr>
          <w:rFonts w:ascii="calibri" w:hAnsi="calibri" w:eastAsia="calibri" w:cs="calibri"/>
          <w:sz w:val="24"/>
          <w:szCs w:val="24"/>
          <w:b/>
        </w:rPr>
        <w:t xml:space="preserve">wymiar płciowy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single economy</w:t>
      </w:r>
      <w:r>
        <w:rPr>
          <w:rFonts w:ascii="calibri" w:hAnsi="calibri" w:eastAsia="calibri" w:cs="calibri"/>
          <w:sz w:val="24"/>
          <w:szCs w:val="24"/>
        </w:rPr>
        <w:t xml:space="preserve">, szczególnie widoczny w doświadczeniu mężczyzn. Dla wielu z nich życie w pojedynkę nie jest dziś świadomym wyborem stylu życia, lecz efektem wycofania się z relacji w sytuacji kryzysu zawodowego lub ekonomicznego.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Single economy</w:t>
      </w:r>
      <w:r>
        <w:rPr>
          <w:rFonts w:ascii="calibri" w:hAnsi="calibri" w:eastAsia="calibri" w:cs="calibri"/>
          <w:sz w:val="24"/>
          <w:szCs w:val="24"/>
        </w:rPr>
        <w:t xml:space="preserve"> nie jest więc wyłącznie konsekwencją indywidualizacji stylu życia, lecz także sygnałem głębszych napięć społecznych.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Ich źródłem pozostaje utrwalony kulturowo model, w którym mężczyzna ma być głównym żywicielem i „głową rodziny”. W warunkach niestabilności zawodowej i zmieniających się ról społecznych model ten staje się </w:t>
      </w:r>
      <w:r>
        <w:rPr>
          <w:rFonts w:ascii="calibri" w:hAnsi="calibri" w:eastAsia="calibri" w:cs="calibri"/>
          <w:sz w:val="24"/>
          <w:szCs w:val="24"/>
          <w:b/>
        </w:rPr>
        <w:t xml:space="preserve">źródłem silnej presji psychicznej</w:t>
      </w:r>
      <w:r>
        <w:rPr>
          <w:rFonts w:ascii="calibri" w:hAnsi="calibri" w:eastAsia="calibri" w:cs="calibri"/>
          <w:sz w:val="24"/>
          <w:szCs w:val="24"/>
        </w:rPr>
        <w:t xml:space="preserve">. Aż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54 proc.</w:t>
        </w:r>
      </w:hyperlink>
      <w:r>
        <w:rPr>
          <w:rFonts w:ascii="calibri" w:hAnsi="calibri" w:eastAsia="calibri" w:cs="calibri"/>
          <w:sz w:val="24"/>
          <w:szCs w:val="24"/>
        </w:rPr>
        <w:t xml:space="preserve"> młodych mężczyzn (18-25 lat) przyznaje, że często nie ma z kim porozmawiać o swoich problemach i emocjach. Gdy mężczyzna traci pracę lub pozycję zawodową, </w:t>
      </w:r>
      <w:r>
        <w:rPr>
          <w:rFonts w:ascii="calibri" w:hAnsi="calibri" w:eastAsia="calibri" w:cs="calibri"/>
          <w:sz w:val="24"/>
          <w:szCs w:val="24"/>
          <w:b/>
        </w:rPr>
        <w:t xml:space="preserve">kryzys ekonomiczny </w:t>
      </w:r>
      <w:r>
        <w:rPr>
          <w:rFonts w:ascii="calibri" w:hAnsi="calibri" w:eastAsia="calibri" w:cs="calibri"/>
          <w:sz w:val="24"/>
          <w:szCs w:val="24"/>
        </w:rPr>
        <w:t xml:space="preserve">często szybko przeradza się w </w:t>
      </w:r>
      <w:r>
        <w:rPr>
          <w:rFonts w:ascii="calibri" w:hAnsi="calibri" w:eastAsia="calibri" w:cs="calibri"/>
          <w:sz w:val="24"/>
          <w:szCs w:val="24"/>
          <w:b/>
        </w:rPr>
        <w:t xml:space="preserve">kryzys tożsamości </w:t>
      </w:r>
      <w:r>
        <w:rPr>
          <w:rFonts w:ascii="calibri" w:hAnsi="calibri" w:eastAsia="calibri" w:cs="calibri"/>
          <w:sz w:val="24"/>
          <w:szCs w:val="24"/>
        </w:rPr>
        <w:t xml:space="preserve">i poczucia własnej wartości. Brak alternatywnych narracji męskości – opartych na relacyjności, współodpowiedzialności i elastyczności ról – sprawia, że część mężczyzn doświadcza emocjonalnej i relacyjnej samotności. Zjawisko to staje się więc nie tylko kategorią ekonomiczną, ale jednym z </w:t>
      </w:r>
      <w:r>
        <w:rPr>
          <w:rFonts w:ascii="calibri" w:hAnsi="calibri" w:eastAsia="calibri" w:cs="calibri"/>
          <w:sz w:val="24"/>
          <w:szCs w:val="24"/>
          <w:b/>
        </w:rPr>
        <w:t xml:space="preserve">najważniejszych barometrów kondycji społecznej</w:t>
      </w:r>
      <w:r>
        <w:rPr>
          <w:rFonts w:ascii="calibri" w:hAnsi="calibri" w:eastAsia="calibri" w:cs="calibri"/>
          <w:sz w:val="24"/>
          <w:szCs w:val="24"/>
        </w:rPr>
        <w:t xml:space="preserve"> i relacyjnej współczesnego społeczeństwa. 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801px; margin-left:0px; margin-top:0px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rostat/statistics-explained/index.php?title=Household_composition_statistics%23Increasing_number_of_households_composed_of_adults_living_alone" TargetMode="External"/><Relationship Id="rId8" Type="http://schemas.openxmlformats.org/officeDocument/2006/relationships/hyperlink" Target="https://plwliczbach.stat.gov.pl/PL/gospodarstwa_domowe.html" TargetMode="External"/><Relationship Id="rId9" Type="http://schemas.openxmlformats.org/officeDocument/2006/relationships/hyperlink" Target="https://stat.gov.pl/files/gfx/portalinformacyjny/pl/defaultaktualnosci/5486/3/24/1/sytuacja_gospodarstw_domowych_w_2024_r._w_swietle_wynikow_badania_budzetow_gospodarstw_domowych.pdf?" TargetMode="External"/><Relationship Id="rId10" Type="http://schemas.openxmlformats.org/officeDocument/2006/relationships/hyperlink" Target="https://pie.net.pl/konsumpcja-napedza-wzrost-pkb/" TargetMode="External"/><Relationship Id="rId11" Type="http://schemas.openxmlformats.org/officeDocument/2006/relationships/hyperlink" Target="https://www.zillow.com/news/love-pays-literally-the-10k-singles-tax-of-living-solo/" TargetMode="External"/><Relationship Id="rId12" Type="http://schemas.openxmlformats.org/officeDocument/2006/relationships/hyperlink" Target="https://zdrowa-ona.pl/do-pobrania/raport-badania-zrozumiec-meskosc-rzeczywistosc-polskiego-mezczyzny.pdf" TargetMode="External"/><Relationship Id="rId13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2026-11-08T06:41:24+01:00</dcterms:created>
  <dcterms:modified xsi:type="dcterms:W3CDTF">2026-11-08T06:41:24+01:00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